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Chipping Sparrow Info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1134" w:top="1134" w:left="1134" w:right="1134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134" w:top="1134" w:left="1134" w:right="1134" w:header="1134" w:footer="113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134" w:top="1134" w:left="1134" w:right="1134" w:header="1134" w:footer="113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Throughout the year, adults are gray below and brown above. Adults in alternate (breeding) plumage have a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persimmon-red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cap, a nearly white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8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supercilium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and a black trans-ocular line (running through the eye). Adults in basic (nonbreeding) plumage are less prominently marked, with a brownish cap, a dusky eyebrow, and a dark eye-line.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134" w:top="1134" w:left="1134" w:right="1134" w:header="1134" w:footer="113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Juvenile Chipping Sparrows are prominently streaked below. Like nonbreeding adults, they show a dark eye-line, extending both in front of and behind the eye. The brownish cap and dusky eyebrow are variable but generally obscure in juveniles.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4" w:top="1134" w:left="1134" w:right="113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