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80"/>
          <w:sz w:val="22"/>
          <w:szCs w:val="22"/>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80"/>
          <w:sz w:val="22"/>
          <w:szCs w:val="22"/>
          <w:u w:val="none"/>
          <w:shd w:fill="auto" w:val="clear"/>
          <w:vertAlign w:val="baseline"/>
          <w:rtl w:val="0"/>
        </w:rPr>
        <w:t xml:space="preserve">The Snapshot</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80"/>
          <w:sz w:val="22"/>
          <w:szCs w:val="22"/>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80"/>
          <w:sz w:val="22"/>
          <w:szCs w:val="22"/>
          <w:u w:val="none"/>
          <w:shd w:fill="auto" w:val="clear"/>
          <w:vertAlign w:val="baseline"/>
          <w:rtl w:val="0"/>
        </w:rPr>
        <w:t xml:space="preserve">Clal, a young boy from the Valley of Lyrune, is told that he is “The One” spoken of for centuries who is to fight the dark force of the ancient world. Clal, along with his twin sister Leara, and others, embark upon a journey that will send him far from home, but closer to his destiny. His task is to search out, among the myths, legends, and lores of his day, elements that will prove to be crucial in his fight against the “Dark One Lurking.” And in the proving of the validity of key myths and legends, he will find the a growing strength to meet the task of defeating his mortal enemy.</w:t>
      </w:r>
    </w:p>
    <w:sectPr>
      <w:pgSz w:h="15840" w:w="12240" w:orient="portrait"/>
      <w:pgMar w:bottom="1134" w:top="1134" w:left="1134" w:right="692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