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Sturc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Tur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Al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Setur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Seturu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Reanin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Diagr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Gramin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Illinon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Illians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Illinia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Illian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Illians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160"/>
          <w:szCs w:val="160"/>
          <w:u w:val="none"/>
          <w:shd w:fill="auto" w:val="clear"/>
          <w:vertAlign w:val="baseline"/>
          <w:rtl w:val="0"/>
        </w:rPr>
        <w:t xml:space="preserve">Eldan Vyum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Online versions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Onlin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Versras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Verzra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Olnin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Theasis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Theosis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Gronth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</w:rPr>
      </w:pPr>
      <w:r w:rsidDel="00000000" w:rsidR="00000000" w:rsidRPr="00000000">
        <w:rPr>
          <w:rFonts w:ascii="Paternoster AH" w:cs="Paternoster AH" w:eastAsia="Paternoster AH" w:hAnsi="Paternoster AH"/>
          <w:b w:val="0"/>
          <w:i w:val="0"/>
          <w:smallCaps w:val="0"/>
          <w:strike w:val="0"/>
          <w:color w:val="000000"/>
          <w:sz w:val="80"/>
          <w:szCs w:val="80"/>
          <w:u w:val="none"/>
          <w:shd w:fill="auto" w:val="clear"/>
          <w:vertAlign w:val="baseline"/>
          <w:rtl w:val="0"/>
        </w:rPr>
        <w:t xml:space="preserve">Illian Armies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ternoster A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